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B5" w:rsidRDefault="004069B5" w:rsidP="00406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МОГОЧИНСКОГО СЕЛЬСКОГО ПОСЕЛЕНИЯ</w:t>
      </w:r>
    </w:p>
    <w:p w:rsidR="004069B5" w:rsidRDefault="004069B5" w:rsidP="00406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4069B5" w:rsidRDefault="004069B5" w:rsidP="004069B5">
      <w:pPr>
        <w:jc w:val="center"/>
        <w:rPr>
          <w:b/>
          <w:sz w:val="28"/>
          <w:szCs w:val="28"/>
        </w:rPr>
      </w:pPr>
    </w:p>
    <w:p w:rsidR="004069B5" w:rsidRDefault="004069B5" w:rsidP="004069B5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ПОСТАНОВЛЕНИЕ</w:t>
      </w:r>
    </w:p>
    <w:p w:rsidR="004069B5" w:rsidRDefault="007670F5" w:rsidP="004069B5">
      <w:pPr>
        <w:jc w:val="center"/>
      </w:pPr>
      <w:r w:rsidRPr="007670F5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892DF6" w:rsidRDefault="00892DF6" w:rsidP="00892DF6">
      <w:pPr>
        <w:jc w:val="both"/>
        <w:rPr>
          <w:sz w:val="28"/>
          <w:szCs w:val="28"/>
        </w:rPr>
      </w:pPr>
      <w:r>
        <w:rPr>
          <w:sz w:val="28"/>
          <w:szCs w:val="28"/>
        </w:rPr>
        <w:t>30 января 2017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</w:t>
      </w:r>
    </w:p>
    <w:p w:rsidR="009B03BA" w:rsidRDefault="009B03BA" w:rsidP="00892DF6">
      <w:pPr>
        <w:rPr>
          <w:sz w:val="28"/>
          <w:szCs w:val="28"/>
        </w:rPr>
      </w:pPr>
    </w:p>
    <w:p w:rsidR="004069B5" w:rsidRDefault="004069B5" w:rsidP="004069B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Могочино</w:t>
      </w:r>
    </w:p>
    <w:p w:rsidR="004069B5" w:rsidRDefault="004069B5" w:rsidP="00406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69B5" w:rsidRPr="007344C7" w:rsidRDefault="004069B5" w:rsidP="004069B5">
      <w:pPr>
        <w:rPr>
          <w:sz w:val="28"/>
          <w:szCs w:val="28"/>
        </w:rPr>
      </w:pPr>
      <w:r w:rsidRPr="007344C7">
        <w:rPr>
          <w:sz w:val="28"/>
          <w:szCs w:val="28"/>
        </w:rPr>
        <w:t>Об утверждении стоимости</w:t>
      </w:r>
    </w:p>
    <w:p w:rsidR="004069B5" w:rsidRPr="007344C7" w:rsidRDefault="00C51032" w:rsidP="004069B5">
      <w:pPr>
        <w:rPr>
          <w:sz w:val="28"/>
          <w:szCs w:val="28"/>
        </w:rPr>
      </w:pPr>
      <w:r w:rsidRPr="007344C7">
        <w:rPr>
          <w:sz w:val="28"/>
          <w:szCs w:val="28"/>
        </w:rPr>
        <w:t>услуг по погребению</w:t>
      </w:r>
    </w:p>
    <w:p w:rsidR="004069B5" w:rsidRPr="007344C7" w:rsidRDefault="004069B5" w:rsidP="004069B5">
      <w:pPr>
        <w:rPr>
          <w:sz w:val="28"/>
          <w:szCs w:val="28"/>
        </w:rPr>
      </w:pPr>
    </w:p>
    <w:p w:rsidR="004069B5" w:rsidRPr="007344C7" w:rsidRDefault="004069B5" w:rsidP="004069B5">
      <w:pPr>
        <w:rPr>
          <w:sz w:val="28"/>
          <w:szCs w:val="28"/>
        </w:rPr>
      </w:pPr>
    </w:p>
    <w:p w:rsidR="004069B5" w:rsidRPr="007344C7" w:rsidRDefault="004069B5" w:rsidP="004069B5">
      <w:pPr>
        <w:jc w:val="both"/>
        <w:rPr>
          <w:sz w:val="28"/>
          <w:szCs w:val="28"/>
        </w:rPr>
      </w:pPr>
      <w:r w:rsidRPr="007344C7">
        <w:rPr>
          <w:sz w:val="28"/>
          <w:szCs w:val="28"/>
        </w:rPr>
        <w:tab/>
      </w:r>
      <w:r w:rsidRPr="007344C7">
        <w:rPr>
          <w:sz w:val="28"/>
          <w:szCs w:val="28"/>
        </w:rPr>
        <w:tab/>
        <w:t>В соответствии с Федеральным законом от 12.01.1996 № 8-ФЗ «О погребении и похоронном деле», Законом Томской области от 12.01.2005 г.</w:t>
      </w:r>
    </w:p>
    <w:p w:rsidR="004069B5" w:rsidRPr="007344C7" w:rsidRDefault="004069B5" w:rsidP="004069B5">
      <w:pPr>
        <w:jc w:val="both"/>
        <w:rPr>
          <w:sz w:val="28"/>
          <w:szCs w:val="28"/>
        </w:rPr>
      </w:pPr>
      <w:r w:rsidRPr="007344C7">
        <w:rPr>
          <w:sz w:val="28"/>
          <w:szCs w:val="28"/>
        </w:rPr>
        <w:t>№ 6-ОЗ «О погребении и по</w:t>
      </w:r>
      <w:r w:rsidR="007344C7" w:rsidRPr="007344C7">
        <w:rPr>
          <w:sz w:val="28"/>
          <w:szCs w:val="28"/>
        </w:rPr>
        <w:t>хоронном деле в Томской области»</w:t>
      </w:r>
      <w:r w:rsidR="00AF3B9A">
        <w:rPr>
          <w:sz w:val="28"/>
          <w:szCs w:val="28"/>
        </w:rPr>
        <w:t xml:space="preserve">, распоряжением Губернатора Томской области от 15.10.2015 №761-ра «Об организации согласования стоимости услуг, предоставляемых согласно гарантированному перечню услуг по погребению» </w:t>
      </w:r>
    </w:p>
    <w:p w:rsidR="004069B5" w:rsidRPr="007344C7" w:rsidRDefault="004069B5" w:rsidP="004069B5">
      <w:pPr>
        <w:rPr>
          <w:sz w:val="28"/>
          <w:szCs w:val="28"/>
        </w:rPr>
      </w:pPr>
    </w:p>
    <w:p w:rsidR="004069B5" w:rsidRPr="007344C7" w:rsidRDefault="004069B5" w:rsidP="004069B5">
      <w:pPr>
        <w:rPr>
          <w:sz w:val="28"/>
          <w:szCs w:val="28"/>
        </w:rPr>
      </w:pPr>
      <w:r w:rsidRPr="007344C7">
        <w:rPr>
          <w:sz w:val="28"/>
          <w:szCs w:val="28"/>
        </w:rPr>
        <w:t>ПОСТАНОВЛЯЮ:</w:t>
      </w:r>
    </w:p>
    <w:p w:rsidR="004069B5" w:rsidRPr="007344C7" w:rsidRDefault="004069B5" w:rsidP="004069B5">
      <w:pPr>
        <w:jc w:val="both"/>
        <w:rPr>
          <w:b/>
          <w:sz w:val="28"/>
          <w:szCs w:val="28"/>
        </w:rPr>
      </w:pPr>
    </w:p>
    <w:p w:rsidR="004069B5" w:rsidRPr="007344C7" w:rsidRDefault="004069B5" w:rsidP="004069B5">
      <w:pPr>
        <w:ind w:firstLine="708"/>
        <w:jc w:val="both"/>
        <w:rPr>
          <w:sz w:val="28"/>
          <w:szCs w:val="28"/>
        </w:rPr>
      </w:pPr>
      <w:r w:rsidRPr="007344C7">
        <w:rPr>
          <w:sz w:val="28"/>
          <w:szCs w:val="28"/>
        </w:rPr>
        <w:t>1. Признать у</w:t>
      </w:r>
      <w:r w:rsidR="00F938B5">
        <w:rPr>
          <w:sz w:val="28"/>
          <w:szCs w:val="28"/>
        </w:rPr>
        <w:t>тратившим силу Постановление № 156</w:t>
      </w:r>
      <w:r w:rsidR="00163EB5" w:rsidRPr="007344C7">
        <w:rPr>
          <w:sz w:val="28"/>
          <w:szCs w:val="28"/>
        </w:rPr>
        <w:t xml:space="preserve"> от</w:t>
      </w:r>
      <w:r w:rsidRPr="007344C7">
        <w:rPr>
          <w:sz w:val="28"/>
          <w:szCs w:val="28"/>
        </w:rPr>
        <w:t xml:space="preserve"> </w:t>
      </w:r>
      <w:r w:rsidR="00F938B5">
        <w:rPr>
          <w:sz w:val="28"/>
          <w:szCs w:val="28"/>
        </w:rPr>
        <w:t>23.12.2015</w:t>
      </w:r>
      <w:r w:rsidR="007F2E88" w:rsidRPr="007344C7">
        <w:rPr>
          <w:sz w:val="28"/>
          <w:szCs w:val="28"/>
        </w:rPr>
        <w:t xml:space="preserve"> </w:t>
      </w:r>
      <w:r w:rsidRPr="007344C7">
        <w:rPr>
          <w:sz w:val="28"/>
          <w:szCs w:val="28"/>
        </w:rPr>
        <w:t>года</w:t>
      </w:r>
      <w:r w:rsidR="007F2E88" w:rsidRPr="007344C7">
        <w:rPr>
          <w:sz w:val="28"/>
          <w:szCs w:val="28"/>
        </w:rPr>
        <w:t>.</w:t>
      </w:r>
    </w:p>
    <w:p w:rsidR="004069B5" w:rsidRPr="007344C7" w:rsidRDefault="004069B5" w:rsidP="004069B5">
      <w:pPr>
        <w:ind w:firstLine="708"/>
        <w:jc w:val="both"/>
        <w:rPr>
          <w:sz w:val="28"/>
          <w:szCs w:val="28"/>
        </w:rPr>
      </w:pPr>
      <w:r w:rsidRPr="007344C7">
        <w:rPr>
          <w:sz w:val="28"/>
          <w:szCs w:val="28"/>
        </w:rPr>
        <w:t>2.Утвердить стоимость услуг, предоставляемых согласно гарантированному перечню услуг по погребению, в следующих размерах:</w:t>
      </w:r>
    </w:p>
    <w:p w:rsidR="004069B5" w:rsidRPr="007344C7" w:rsidRDefault="004069B5" w:rsidP="004069B5">
      <w:pPr>
        <w:ind w:firstLine="708"/>
        <w:jc w:val="both"/>
        <w:rPr>
          <w:sz w:val="28"/>
          <w:szCs w:val="28"/>
        </w:rPr>
      </w:pPr>
      <w:r w:rsidRPr="007344C7">
        <w:rPr>
          <w:sz w:val="28"/>
          <w:szCs w:val="28"/>
        </w:rPr>
        <w:t xml:space="preserve">2.1.В случае осуществления погребения за счёт средств супруга, близких родственников, иных родственников, законного представителя умершего или иного лица, взявшего на себя обязанность осуществлять погребение – </w:t>
      </w:r>
      <w:r w:rsidR="00F938B5">
        <w:rPr>
          <w:sz w:val="28"/>
          <w:szCs w:val="28"/>
        </w:rPr>
        <w:t>7230 (семь тысяч двести тридцать</w:t>
      </w:r>
      <w:r w:rsidRPr="007344C7">
        <w:rPr>
          <w:sz w:val="28"/>
          <w:szCs w:val="28"/>
        </w:rPr>
        <w:t>) рубл</w:t>
      </w:r>
      <w:r w:rsidR="001D16D0" w:rsidRPr="007344C7">
        <w:rPr>
          <w:sz w:val="28"/>
          <w:szCs w:val="28"/>
        </w:rPr>
        <w:t>ей</w:t>
      </w:r>
      <w:r w:rsidRPr="007344C7">
        <w:rPr>
          <w:sz w:val="28"/>
          <w:szCs w:val="28"/>
        </w:rPr>
        <w:t>, приложение № 1.</w:t>
      </w:r>
    </w:p>
    <w:p w:rsidR="004069B5" w:rsidRPr="007344C7" w:rsidRDefault="004069B5" w:rsidP="004069B5">
      <w:pPr>
        <w:jc w:val="both"/>
        <w:rPr>
          <w:sz w:val="28"/>
          <w:szCs w:val="28"/>
        </w:rPr>
      </w:pPr>
      <w:r w:rsidRPr="007344C7">
        <w:rPr>
          <w:sz w:val="28"/>
          <w:szCs w:val="28"/>
        </w:rPr>
        <w:tab/>
        <w:t xml:space="preserve">2.2.В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- </w:t>
      </w:r>
      <w:r w:rsidR="00F938B5">
        <w:rPr>
          <w:sz w:val="28"/>
          <w:szCs w:val="28"/>
        </w:rPr>
        <w:t>5238</w:t>
      </w:r>
      <w:r w:rsidRPr="007344C7">
        <w:rPr>
          <w:sz w:val="28"/>
          <w:szCs w:val="28"/>
        </w:rPr>
        <w:t xml:space="preserve"> </w:t>
      </w:r>
      <w:r w:rsidR="00F938B5">
        <w:rPr>
          <w:sz w:val="28"/>
          <w:szCs w:val="28"/>
        </w:rPr>
        <w:t>(Пять тысяч двести тридцать восемь</w:t>
      </w:r>
      <w:r w:rsidRPr="007344C7">
        <w:rPr>
          <w:sz w:val="28"/>
          <w:szCs w:val="28"/>
        </w:rPr>
        <w:t>) рублей, приложение № 2.</w:t>
      </w:r>
    </w:p>
    <w:p w:rsidR="004069B5" w:rsidRPr="007344C7" w:rsidRDefault="004069B5" w:rsidP="004069B5">
      <w:pPr>
        <w:ind w:firstLine="708"/>
        <w:jc w:val="both"/>
        <w:rPr>
          <w:sz w:val="28"/>
          <w:szCs w:val="28"/>
        </w:rPr>
      </w:pPr>
      <w:r w:rsidRPr="007344C7">
        <w:rPr>
          <w:sz w:val="28"/>
          <w:szCs w:val="28"/>
        </w:rPr>
        <w:t>3.Настоящее постановление распространяется на правоотнош</w:t>
      </w:r>
      <w:r w:rsidR="00D03992">
        <w:rPr>
          <w:sz w:val="28"/>
          <w:szCs w:val="28"/>
        </w:rPr>
        <w:t>ения, возникшие с 01 февраля 2017</w:t>
      </w:r>
      <w:r w:rsidRPr="007344C7">
        <w:rPr>
          <w:sz w:val="28"/>
          <w:szCs w:val="28"/>
        </w:rPr>
        <w:t xml:space="preserve"> года</w:t>
      </w:r>
    </w:p>
    <w:p w:rsidR="004069B5" w:rsidRPr="007344C7" w:rsidRDefault="004069B5" w:rsidP="004069B5">
      <w:pPr>
        <w:jc w:val="both"/>
        <w:rPr>
          <w:sz w:val="28"/>
          <w:szCs w:val="28"/>
        </w:rPr>
      </w:pPr>
    </w:p>
    <w:p w:rsidR="004069B5" w:rsidRPr="007344C7" w:rsidRDefault="004069B5" w:rsidP="004069B5">
      <w:pPr>
        <w:jc w:val="both"/>
        <w:rPr>
          <w:sz w:val="28"/>
          <w:szCs w:val="28"/>
        </w:rPr>
      </w:pPr>
    </w:p>
    <w:p w:rsidR="004069B5" w:rsidRPr="007344C7" w:rsidRDefault="004069B5" w:rsidP="004069B5">
      <w:pPr>
        <w:jc w:val="both"/>
        <w:rPr>
          <w:sz w:val="28"/>
          <w:szCs w:val="28"/>
        </w:rPr>
      </w:pPr>
    </w:p>
    <w:p w:rsidR="004069B5" w:rsidRPr="007344C7" w:rsidRDefault="004069B5" w:rsidP="004069B5">
      <w:pPr>
        <w:jc w:val="both"/>
        <w:rPr>
          <w:sz w:val="28"/>
          <w:szCs w:val="28"/>
        </w:rPr>
      </w:pPr>
    </w:p>
    <w:p w:rsidR="004069B5" w:rsidRPr="007344C7" w:rsidRDefault="004069B5" w:rsidP="004069B5">
      <w:pPr>
        <w:jc w:val="both"/>
        <w:rPr>
          <w:sz w:val="28"/>
          <w:szCs w:val="28"/>
        </w:rPr>
      </w:pPr>
    </w:p>
    <w:p w:rsidR="009B03BA" w:rsidRDefault="009B03BA" w:rsidP="004069B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4069B5" w:rsidRPr="007344C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63EB5" w:rsidRPr="007344C7">
        <w:rPr>
          <w:sz w:val="28"/>
          <w:szCs w:val="28"/>
        </w:rPr>
        <w:t xml:space="preserve"> </w:t>
      </w:r>
      <w:r w:rsidR="004069B5" w:rsidRPr="007344C7">
        <w:rPr>
          <w:sz w:val="28"/>
          <w:szCs w:val="28"/>
        </w:rPr>
        <w:t>Мо</w:t>
      </w:r>
      <w:r>
        <w:rPr>
          <w:sz w:val="28"/>
          <w:szCs w:val="28"/>
        </w:rPr>
        <w:t>гочинского</w:t>
      </w:r>
    </w:p>
    <w:p w:rsidR="004069B5" w:rsidRPr="007344C7" w:rsidRDefault="009B03BA" w:rsidP="004069B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4069B5" w:rsidRPr="007344C7"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А.Ю. Алистратов </w:t>
      </w:r>
    </w:p>
    <w:p w:rsidR="007344C7" w:rsidRDefault="007344C7" w:rsidP="009B03BA">
      <w:pPr>
        <w:rPr>
          <w:sz w:val="20"/>
          <w:szCs w:val="20"/>
        </w:rPr>
      </w:pPr>
    </w:p>
    <w:p w:rsidR="00EA2537" w:rsidRDefault="00EA2537" w:rsidP="009B03BA">
      <w:pPr>
        <w:rPr>
          <w:sz w:val="20"/>
          <w:szCs w:val="20"/>
        </w:rPr>
      </w:pPr>
    </w:p>
    <w:p w:rsidR="00EA2537" w:rsidRDefault="00EA2537" w:rsidP="009B03BA">
      <w:pPr>
        <w:rPr>
          <w:sz w:val="20"/>
          <w:szCs w:val="20"/>
        </w:rPr>
      </w:pPr>
    </w:p>
    <w:p w:rsidR="004069B5" w:rsidRDefault="004069B5" w:rsidP="004069B5">
      <w:pPr>
        <w:jc w:val="right"/>
        <w:rPr>
          <w:sz w:val="20"/>
          <w:szCs w:val="20"/>
        </w:rPr>
      </w:pPr>
    </w:p>
    <w:p w:rsidR="00892DF6" w:rsidRPr="002329AD" w:rsidRDefault="00892DF6" w:rsidP="00892DF6">
      <w:pPr>
        <w:ind w:left="6237"/>
        <w:jc w:val="both"/>
        <w:rPr>
          <w:sz w:val="22"/>
          <w:szCs w:val="22"/>
        </w:rPr>
      </w:pPr>
      <w:r w:rsidRPr="002329AD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 1</w:t>
      </w:r>
      <w:r w:rsidRPr="002329AD">
        <w:rPr>
          <w:sz w:val="22"/>
          <w:szCs w:val="22"/>
        </w:rPr>
        <w:t xml:space="preserve"> к постановлению Администрации Могочи</w:t>
      </w:r>
      <w:r>
        <w:rPr>
          <w:sz w:val="22"/>
          <w:szCs w:val="22"/>
        </w:rPr>
        <w:t>нского сельского поселения от 30.01.2017 № 6</w:t>
      </w:r>
    </w:p>
    <w:p w:rsidR="004069B5" w:rsidRDefault="004069B5" w:rsidP="004069B5">
      <w:pPr>
        <w:jc w:val="right"/>
        <w:rPr>
          <w:sz w:val="20"/>
          <w:szCs w:val="20"/>
        </w:rPr>
      </w:pPr>
    </w:p>
    <w:p w:rsidR="004069B5" w:rsidRDefault="004069B5" w:rsidP="004069B5">
      <w:pPr>
        <w:jc w:val="center"/>
        <w:rPr>
          <w:b/>
        </w:rPr>
      </w:pPr>
      <w:r>
        <w:rPr>
          <w:b/>
        </w:rPr>
        <w:t>Стоимость услуг, предоставляемых согласно гарантированному пер</w:t>
      </w:r>
      <w:r w:rsidR="00131014">
        <w:rPr>
          <w:b/>
        </w:rPr>
        <w:t>ечню услуг по погребению на 2017</w:t>
      </w:r>
      <w:r>
        <w:rPr>
          <w:b/>
        </w:rPr>
        <w:t xml:space="preserve"> год</w:t>
      </w:r>
      <w:r w:rsidR="00AF3B9A">
        <w:rPr>
          <w:b/>
        </w:rPr>
        <w:t xml:space="preserve"> с 01.02.2017</w:t>
      </w:r>
    </w:p>
    <w:p w:rsidR="004069B5" w:rsidRDefault="004069B5" w:rsidP="004069B5">
      <w:pPr>
        <w:jc w:val="center"/>
      </w:pPr>
    </w:p>
    <w:tbl>
      <w:tblPr>
        <w:tblStyle w:val="a3"/>
        <w:tblW w:w="0" w:type="auto"/>
        <w:tblLook w:val="01E0"/>
      </w:tblPr>
      <w:tblGrid>
        <w:gridCol w:w="1548"/>
        <w:gridCol w:w="4832"/>
        <w:gridCol w:w="3191"/>
      </w:tblGrid>
      <w:tr w:rsidR="00406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Стоимость услуг, руб.</w:t>
            </w:r>
          </w:p>
        </w:tc>
      </w:tr>
      <w:tr w:rsidR="005E6F02" w:rsidTr="005E6F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  <w:rPr>
                <w:b/>
              </w:rPr>
            </w:pPr>
            <w:r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02" w:rsidRPr="00CA521F" w:rsidRDefault="00346268" w:rsidP="005E6F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</w:t>
            </w:r>
            <w:r w:rsidR="005E6F02" w:rsidRPr="00CA521F">
              <w:rPr>
                <w:b/>
                <w:bCs/>
                <w:color w:val="000000"/>
              </w:rPr>
              <w:t>,1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5E6F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  <w:rPr>
                <w:b/>
              </w:rPr>
            </w:pPr>
            <w:r>
              <w:rPr>
                <w:b/>
              </w:rPr>
              <w:t>Предоставление и доставка 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Pr="00CA521F" w:rsidRDefault="005E6F02" w:rsidP="005E6F02">
            <w:pPr>
              <w:jc w:val="center"/>
              <w:rPr>
                <w:b/>
                <w:bCs/>
                <w:color w:val="000000"/>
              </w:rPr>
            </w:pPr>
            <w:r w:rsidRPr="00CA521F">
              <w:rPr>
                <w:b/>
                <w:bCs/>
                <w:color w:val="000000"/>
              </w:rPr>
              <w:t>2061,93</w:t>
            </w:r>
          </w:p>
          <w:p w:rsidR="005E6F02" w:rsidRPr="00CA521F" w:rsidRDefault="005E6F02">
            <w:pPr>
              <w:jc w:val="center"/>
              <w:rPr>
                <w:b/>
              </w:rPr>
            </w:pPr>
          </w:p>
        </w:tc>
      </w:tr>
      <w:tr w:rsidR="005E6F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>2.1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>Гроб (оббитый)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Pr="00CA521F" w:rsidRDefault="005E6F02" w:rsidP="005E6F02">
            <w:pPr>
              <w:jc w:val="center"/>
              <w:rPr>
                <w:color w:val="000000"/>
              </w:rPr>
            </w:pPr>
            <w:r w:rsidRPr="00CA521F">
              <w:rPr>
                <w:color w:val="000000"/>
              </w:rPr>
              <w:t>1527,18</w:t>
            </w:r>
          </w:p>
        </w:tc>
      </w:tr>
      <w:tr w:rsidR="005E6F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>2.2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>Доставка похоронных принадлежностей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Pr="00CA521F" w:rsidRDefault="005E6F02" w:rsidP="005E6F02">
            <w:pPr>
              <w:jc w:val="center"/>
              <w:rPr>
                <w:color w:val="000000"/>
              </w:rPr>
            </w:pPr>
            <w:r w:rsidRPr="00CA521F">
              <w:rPr>
                <w:color w:val="000000"/>
              </w:rPr>
              <w:t>534,75</w:t>
            </w:r>
          </w:p>
        </w:tc>
      </w:tr>
      <w:tr w:rsidR="005E6F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>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  <w:rPr>
                <w:b/>
              </w:rPr>
            </w:pPr>
            <w:r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Pr="00CA521F" w:rsidRDefault="00131014" w:rsidP="00131014">
            <w:pPr>
              <w:jc w:val="center"/>
              <w:rPr>
                <w:b/>
                <w:bCs/>
                <w:color w:val="000000"/>
              </w:rPr>
            </w:pPr>
            <w:r w:rsidRPr="00CA521F">
              <w:rPr>
                <w:b/>
                <w:bCs/>
                <w:color w:val="000000"/>
              </w:rPr>
              <w:t>1186,25</w:t>
            </w:r>
          </w:p>
        </w:tc>
      </w:tr>
      <w:tr w:rsidR="005E6F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>4.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  <w:rPr>
                <w:b/>
              </w:rPr>
            </w:pPr>
            <w:r>
              <w:rPr>
                <w:b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Pr="00CA521F" w:rsidRDefault="00131014" w:rsidP="00131014">
            <w:pPr>
              <w:jc w:val="center"/>
              <w:rPr>
                <w:b/>
                <w:bCs/>
                <w:color w:val="000000"/>
              </w:rPr>
            </w:pPr>
            <w:r w:rsidRPr="00CA521F">
              <w:rPr>
                <w:b/>
                <w:bCs/>
                <w:color w:val="000000"/>
              </w:rPr>
              <w:t>3849,65</w:t>
            </w:r>
          </w:p>
        </w:tc>
      </w:tr>
      <w:tr w:rsidR="005E6F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>4.1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 xml:space="preserve">Могила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Pr="00CA521F" w:rsidRDefault="00131014" w:rsidP="00131014">
            <w:pPr>
              <w:jc w:val="center"/>
              <w:rPr>
                <w:color w:val="000000"/>
              </w:rPr>
            </w:pPr>
            <w:r w:rsidRPr="00CA521F">
              <w:rPr>
                <w:color w:val="000000"/>
              </w:rPr>
              <w:t>2246,40</w:t>
            </w:r>
          </w:p>
        </w:tc>
      </w:tr>
      <w:tr w:rsidR="005E6F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>4.2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Pr="00CA521F" w:rsidRDefault="00131014" w:rsidP="00131014">
            <w:pPr>
              <w:jc w:val="center"/>
              <w:rPr>
                <w:color w:val="000000"/>
              </w:rPr>
            </w:pPr>
            <w:r w:rsidRPr="00CA521F">
              <w:rPr>
                <w:color w:val="000000"/>
              </w:rPr>
              <w:t>300,06</w:t>
            </w:r>
          </w:p>
        </w:tc>
      </w:tr>
      <w:tr w:rsidR="005E6F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>4.3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>Памятник (с табличкой)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Pr="00CA521F" w:rsidRDefault="00131014" w:rsidP="00131014">
            <w:pPr>
              <w:jc w:val="center"/>
              <w:rPr>
                <w:color w:val="000000"/>
              </w:rPr>
            </w:pPr>
            <w:r w:rsidRPr="00CA521F">
              <w:rPr>
                <w:color w:val="000000"/>
              </w:rPr>
              <w:t>1303,19</w:t>
            </w:r>
          </w:p>
        </w:tc>
      </w:tr>
      <w:tr w:rsidR="005E6F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</w:pPr>
            <w:r>
              <w:t>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Default="005E6F0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02" w:rsidRPr="00CA521F" w:rsidRDefault="00131014" w:rsidP="00131014">
            <w:pPr>
              <w:jc w:val="center"/>
              <w:rPr>
                <w:color w:val="000000"/>
              </w:rPr>
            </w:pPr>
            <w:r w:rsidRPr="00CA521F">
              <w:rPr>
                <w:color w:val="000000"/>
              </w:rPr>
              <w:t>7230</w:t>
            </w:r>
          </w:p>
        </w:tc>
      </w:tr>
    </w:tbl>
    <w:p w:rsidR="004069B5" w:rsidRDefault="004069B5" w:rsidP="004069B5">
      <w:pPr>
        <w:jc w:val="right"/>
      </w:pPr>
    </w:p>
    <w:p w:rsidR="004069B5" w:rsidRDefault="004069B5" w:rsidP="004069B5">
      <w:pPr>
        <w:jc w:val="right"/>
        <w:rPr>
          <w:sz w:val="20"/>
          <w:szCs w:val="20"/>
        </w:rPr>
      </w:pPr>
    </w:p>
    <w:p w:rsidR="004069B5" w:rsidRDefault="004069B5" w:rsidP="004069B5">
      <w:pPr>
        <w:jc w:val="right"/>
        <w:rPr>
          <w:sz w:val="20"/>
          <w:szCs w:val="20"/>
        </w:rPr>
      </w:pPr>
    </w:p>
    <w:p w:rsidR="004069B5" w:rsidRDefault="004069B5" w:rsidP="004069B5">
      <w:pPr>
        <w:jc w:val="right"/>
        <w:rPr>
          <w:sz w:val="20"/>
          <w:szCs w:val="20"/>
        </w:rPr>
      </w:pPr>
    </w:p>
    <w:p w:rsidR="00892DF6" w:rsidRPr="002329AD" w:rsidRDefault="00892DF6" w:rsidP="00892DF6">
      <w:pPr>
        <w:ind w:left="6237"/>
        <w:jc w:val="both"/>
        <w:rPr>
          <w:sz w:val="22"/>
          <w:szCs w:val="22"/>
        </w:rPr>
      </w:pPr>
      <w:r w:rsidRPr="002329AD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2</w:t>
      </w:r>
      <w:r w:rsidRPr="002329AD">
        <w:rPr>
          <w:sz w:val="22"/>
          <w:szCs w:val="22"/>
        </w:rPr>
        <w:t xml:space="preserve"> к постановлению Администрации Могочи</w:t>
      </w:r>
      <w:r>
        <w:rPr>
          <w:sz w:val="22"/>
          <w:szCs w:val="22"/>
        </w:rPr>
        <w:t>нского сельского поселения от 30.01.2017 № 6</w:t>
      </w:r>
    </w:p>
    <w:p w:rsidR="004069B5" w:rsidRDefault="004069B5" w:rsidP="004069B5">
      <w:pPr>
        <w:jc w:val="right"/>
        <w:rPr>
          <w:sz w:val="20"/>
          <w:szCs w:val="20"/>
        </w:rPr>
      </w:pPr>
    </w:p>
    <w:p w:rsidR="004069B5" w:rsidRDefault="004069B5" w:rsidP="004069B5">
      <w:pPr>
        <w:jc w:val="center"/>
        <w:rPr>
          <w:b/>
        </w:rPr>
      </w:pPr>
      <w:r>
        <w:rPr>
          <w:b/>
        </w:rPr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</w:t>
      </w:r>
      <w:r w:rsidR="00131014">
        <w:rPr>
          <w:b/>
        </w:rPr>
        <w:t xml:space="preserve"> осуществлять погребение на 2017</w:t>
      </w:r>
      <w:r>
        <w:rPr>
          <w:b/>
        </w:rPr>
        <w:t xml:space="preserve"> год</w:t>
      </w:r>
      <w:r w:rsidR="00AF3B9A">
        <w:rPr>
          <w:b/>
        </w:rPr>
        <w:t xml:space="preserve"> с 01.02.2017</w:t>
      </w:r>
    </w:p>
    <w:p w:rsidR="004069B5" w:rsidRDefault="004069B5" w:rsidP="004069B5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1548"/>
        <w:gridCol w:w="4832"/>
        <w:gridCol w:w="3191"/>
      </w:tblGrid>
      <w:tr w:rsidR="00406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Стоимость услуг, руб.</w:t>
            </w:r>
          </w:p>
        </w:tc>
      </w:tr>
      <w:tr w:rsidR="00406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  <w:rPr>
                <w:b/>
              </w:rPr>
            </w:pPr>
            <w:r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Pr="00CA521F" w:rsidRDefault="00EA2537" w:rsidP="001310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</w:t>
            </w:r>
            <w:r w:rsidR="00131014" w:rsidRPr="00CA521F">
              <w:rPr>
                <w:b/>
                <w:bCs/>
                <w:color w:val="000000"/>
              </w:rPr>
              <w:t>,1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406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  <w:rPr>
                <w:b/>
              </w:rPr>
            </w:pPr>
            <w:r>
              <w:rPr>
                <w:b/>
              </w:rPr>
              <w:t>Гроб (не оббитый)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Pr="00CA521F" w:rsidRDefault="00CA521F" w:rsidP="00CA521F">
            <w:pPr>
              <w:jc w:val="center"/>
              <w:rPr>
                <w:b/>
                <w:bCs/>
                <w:color w:val="000000"/>
              </w:rPr>
            </w:pPr>
            <w:r w:rsidRPr="00CA521F">
              <w:rPr>
                <w:b/>
                <w:bCs/>
                <w:color w:val="000000"/>
              </w:rPr>
              <w:t>931,71</w:t>
            </w:r>
          </w:p>
        </w:tc>
      </w:tr>
      <w:tr w:rsidR="00406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 xml:space="preserve">Перевозка тела </w:t>
            </w:r>
            <w:r w:rsidR="00CA521F">
              <w:t xml:space="preserve">(останков) </w:t>
            </w:r>
            <w:r>
              <w:t>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Pr="00346268" w:rsidRDefault="00CA521F" w:rsidP="00CA521F">
            <w:pPr>
              <w:jc w:val="center"/>
              <w:rPr>
                <w:b/>
                <w:color w:val="000000"/>
              </w:rPr>
            </w:pPr>
            <w:r w:rsidRPr="00346268">
              <w:rPr>
                <w:b/>
                <w:color w:val="000000"/>
              </w:rPr>
              <w:t>1096,40</w:t>
            </w:r>
          </w:p>
        </w:tc>
      </w:tr>
      <w:tr w:rsidR="00406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Pr="00E34FAC" w:rsidRDefault="004069B5">
            <w:pPr>
              <w:jc w:val="center"/>
              <w:rPr>
                <w:b/>
              </w:rPr>
            </w:pPr>
            <w:r w:rsidRPr="00E34FAC">
              <w:rPr>
                <w:b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Pr="00E34FAC" w:rsidRDefault="00CA521F" w:rsidP="00CA521F">
            <w:pPr>
              <w:jc w:val="center"/>
              <w:rPr>
                <w:b/>
                <w:color w:val="000000"/>
              </w:rPr>
            </w:pPr>
            <w:r w:rsidRPr="00E34FAC">
              <w:rPr>
                <w:b/>
                <w:color w:val="000000"/>
              </w:rPr>
              <w:t>2882,</w:t>
            </w:r>
            <w:r w:rsidR="00E34FAC">
              <w:rPr>
                <w:b/>
                <w:color w:val="000000"/>
              </w:rPr>
              <w:t>73</w:t>
            </w:r>
          </w:p>
        </w:tc>
      </w:tr>
      <w:tr w:rsidR="00406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4.1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Pr="00E34FAC" w:rsidRDefault="004069B5">
            <w:pPr>
              <w:jc w:val="center"/>
            </w:pPr>
            <w:r w:rsidRPr="00E34FAC">
              <w:t>Могила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Pr="00E34FAC" w:rsidRDefault="00CA521F" w:rsidP="00CA521F">
            <w:pPr>
              <w:jc w:val="center"/>
              <w:rPr>
                <w:bCs/>
                <w:color w:val="000000"/>
              </w:rPr>
            </w:pPr>
            <w:r w:rsidRPr="00E34FAC">
              <w:rPr>
                <w:bCs/>
                <w:color w:val="000000"/>
              </w:rPr>
              <w:t>2128,4</w:t>
            </w:r>
            <w:r w:rsidR="008C2A6C">
              <w:rPr>
                <w:bCs/>
                <w:color w:val="000000"/>
              </w:rPr>
              <w:t>9</w:t>
            </w:r>
          </w:p>
        </w:tc>
      </w:tr>
      <w:tr w:rsidR="00406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4.2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Pr="00E34FAC" w:rsidRDefault="004069B5">
            <w:pPr>
              <w:jc w:val="center"/>
            </w:pPr>
            <w:r w:rsidRPr="00E34FAC"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Pr="00E34FAC" w:rsidRDefault="00CA521F" w:rsidP="00CA521F">
            <w:pPr>
              <w:jc w:val="center"/>
              <w:rPr>
                <w:bCs/>
                <w:color w:val="000000"/>
              </w:rPr>
            </w:pPr>
            <w:r w:rsidRPr="00E34FAC">
              <w:rPr>
                <w:bCs/>
                <w:color w:val="000000"/>
              </w:rPr>
              <w:t>300,</w:t>
            </w:r>
            <w:r w:rsidR="00E34FAC">
              <w:rPr>
                <w:bCs/>
                <w:color w:val="000000"/>
              </w:rPr>
              <w:t>12</w:t>
            </w:r>
          </w:p>
        </w:tc>
      </w:tr>
      <w:tr w:rsidR="00406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4.3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Тумба без постамента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Pr="00CA521F" w:rsidRDefault="00CA521F" w:rsidP="00CA521F">
            <w:pPr>
              <w:jc w:val="center"/>
              <w:rPr>
                <w:color w:val="000000"/>
              </w:rPr>
            </w:pPr>
            <w:r w:rsidRPr="00CA521F">
              <w:rPr>
                <w:color w:val="000000"/>
              </w:rPr>
              <w:t>362,50</w:t>
            </w:r>
          </w:p>
        </w:tc>
      </w:tr>
      <w:tr w:rsidR="00406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4.4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</w:pPr>
            <w:r>
              <w:t>Регистрационная табличка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Pr="00CA521F" w:rsidRDefault="00CA521F" w:rsidP="00CA521F">
            <w:pPr>
              <w:jc w:val="center"/>
              <w:rPr>
                <w:color w:val="000000"/>
              </w:rPr>
            </w:pPr>
            <w:r w:rsidRPr="00CA521F">
              <w:rPr>
                <w:color w:val="000000"/>
              </w:rPr>
              <w:t>91,62</w:t>
            </w:r>
          </w:p>
        </w:tc>
      </w:tr>
      <w:tr w:rsidR="00406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  <w:rPr>
                <w:b/>
              </w:rPr>
            </w:pPr>
            <w:r>
              <w:rPr>
                <w:b/>
              </w:rPr>
              <w:t>Облачение тела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Pr="00E34FAC" w:rsidRDefault="00CA521F" w:rsidP="00CA521F">
            <w:pPr>
              <w:jc w:val="center"/>
              <w:rPr>
                <w:b/>
                <w:color w:val="000000"/>
              </w:rPr>
            </w:pPr>
            <w:r w:rsidRPr="00E34FAC">
              <w:rPr>
                <w:b/>
                <w:color w:val="000000"/>
              </w:rPr>
              <w:t>194,99</w:t>
            </w:r>
          </w:p>
        </w:tc>
      </w:tr>
      <w:tr w:rsidR="00406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4069B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Default="00AF3B9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B5" w:rsidRPr="00CA521F" w:rsidRDefault="00CA521F" w:rsidP="00CA521F">
            <w:pPr>
              <w:jc w:val="center"/>
              <w:rPr>
                <w:color w:val="000000"/>
              </w:rPr>
            </w:pPr>
            <w:r w:rsidRPr="00CA521F">
              <w:rPr>
                <w:color w:val="000000"/>
              </w:rPr>
              <w:t>5238</w:t>
            </w:r>
          </w:p>
        </w:tc>
      </w:tr>
    </w:tbl>
    <w:p w:rsidR="00AE46E5" w:rsidRDefault="00AE46E5"/>
    <w:sectPr w:rsidR="00AE46E5" w:rsidSect="00FE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069B5"/>
    <w:rsid w:val="00131014"/>
    <w:rsid w:val="001533ED"/>
    <w:rsid w:val="00163EB5"/>
    <w:rsid w:val="001D16D0"/>
    <w:rsid w:val="0025318B"/>
    <w:rsid w:val="002939C7"/>
    <w:rsid w:val="002D3A77"/>
    <w:rsid w:val="00346268"/>
    <w:rsid w:val="00371F52"/>
    <w:rsid w:val="004069B5"/>
    <w:rsid w:val="004317C4"/>
    <w:rsid w:val="004E7EA6"/>
    <w:rsid w:val="005E6F02"/>
    <w:rsid w:val="007344C7"/>
    <w:rsid w:val="00756DA9"/>
    <w:rsid w:val="007670F5"/>
    <w:rsid w:val="007F2E88"/>
    <w:rsid w:val="00892DF6"/>
    <w:rsid w:val="008C2A6C"/>
    <w:rsid w:val="00985F0A"/>
    <w:rsid w:val="009B03BA"/>
    <w:rsid w:val="00A21DAF"/>
    <w:rsid w:val="00A97733"/>
    <w:rsid w:val="00AE46E5"/>
    <w:rsid w:val="00AF3B9A"/>
    <w:rsid w:val="00C51032"/>
    <w:rsid w:val="00C8134B"/>
    <w:rsid w:val="00CA521F"/>
    <w:rsid w:val="00D03992"/>
    <w:rsid w:val="00E34FAC"/>
    <w:rsid w:val="00EA2537"/>
    <w:rsid w:val="00F46020"/>
    <w:rsid w:val="00F67FC9"/>
    <w:rsid w:val="00F938B5"/>
    <w:rsid w:val="00FE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93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3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cp:lastModifiedBy>Могочино</cp:lastModifiedBy>
  <cp:revision>2</cp:revision>
  <cp:lastPrinted>2017-02-06T02:10:00Z</cp:lastPrinted>
  <dcterms:created xsi:type="dcterms:W3CDTF">2017-02-06T02:11:00Z</dcterms:created>
  <dcterms:modified xsi:type="dcterms:W3CDTF">2017-02-06T02:11:00Z</dcterms:modified>
</cp:coreProperties>
</file>